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A4" w:rsidRPr="002200A4" w:rsidRDefault="002200A4" w:rsidP="002200A4">
      <w:pPr>
        <w:spacing w:after="4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00A4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2200A4" w:rsidRPr="002200A4">
        <w:rPr>
          <w:rFonts w:ascii="Times New Roman" w:hAnsi="Times New Roman" w:cs="Times New Roman"/>
          <w:sz w:val="28"/>
          <w:szCs w:val="28"/>
        </w:rPr>
        <w:t>25</w:t>
      </w:r>
      <w:r w:rsidR="002200A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200A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 w:rsidR="002200A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2200A4">
        <w:rPr>
          <w:rFonts w:ascii="Times New Roman" w:hAnsi="Times New Roman" w:cs="Times New Roman"/>
          <w:sz w:val="28"/>
          <w:szCs w:val="28"/>
        </w:rPr>
        <w:t>22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0471A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</w:t>
      </w:r>
      <w:r w:rsidR="002200A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200A4">
        <w:rPr>
          <w:rFonts w:ascii="Times New Roman" w:hAnsi="Times New Roman" w:cs="Times New Roman"/>
          <w:b/>
          <w:sz w:val="28"/>
          <w:szCs w:val="28"/>
        </w:rPr>
        <w:t>Сургут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2E68E5">
        <w:rPr>
          <w:rFonts w:ascii="Times New Roman" w:hAnsi="Times New Roman" w:cs="Times New Roman"/>
          <w:b/>
          <w:sz w:val="28"/>
          <w:szCs w:val="28"/>
        </w:rPr>
        <w:t>№</w:t>
      </w:r>
      <w:r w:rsidR="002200A4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2E68E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200A4">
        <w:rPr>
          <w:rFonts w:ascii="Times New Roman" w:hAnsi="Times New Roman" w:cs="Times New Roman"/>
          <w:b/>
          <w:sz w:val="28"/>
          <w:szCs w:val="28"/>
        </w:rPr>
        <w:t xml:space="preserve">18.07.2022г.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2200A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200A4">
        <w:rPr>
          <w:rFonts w:ascii="Times New Roman" w:hAnsi="Times New Roman" w:cs="Times New Roman"/>
          <w:b/>
          <w:sz w:val="28"/>
          <w:szCs w:val="28"/>
        </w:rPr>
        <w:t>Сургут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04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220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200A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00A4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2200A4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00A4">
        <w:rPr>
          <w:rFonts w:ascii="Times New Roman" w:hAnsi="Times New Roman" w:cs="Times New Roman"/>
          <w:sz w:val="28"/>
          <w:szCs w:val="28"/>
        </w:rPr>
        <w:t>Сургут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2200A4" w:rsidRDefault="002200A4" w:rsidP="00E743F0">
      <w:pPr>
        <w:spacing w:after="0"/>
        <w:jc w:val="both"/>
        <w:rPr>
          <w:sz w:val="28"/>
          <w:szCs w:val="28"/>
        </w:rPr>
      </w:pPr>
    </w:p>
    <w:p w:rsidR="00E743F0" w:rsidRDefault="00E743F0" w:rsidP="00E74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0A4" w:rsidRPr="002200A4" w:rsidRDefault="002200A4" w:rsidP="000471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00A4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Сургут  муниципального района Сергиевский</w:t>
      </w:r>
    </w:p>
    <w:p w:rsidR="002200A4" w:rsidRPr="0059027F" w:rsidRDefault="002200A4" w:rsidP="00E743F0">
      <w:pPr>
        <w:spacing w:after="0"/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0471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2200A4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00A4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2E68E5">
        <w:rPr>
          <w:rFonts w:ascii="Times New Roman" w:hAnsi="Times New Roman" w:cs="Times New Roman"/>
          <w:sz w:val="28"/>
          <w:szCs w:val="28"/>
        </w:rPr>
        <w:t xml:space="preserve"> №</w:t>
      </w:r>
      <w:r w:rsidR="002200A4">
        <w:rPr>
          <w:rFonts w:ascii="Times New Roman" w:hAnsi="Times New Roman" w:cs="Times New Roman"/>
          <w:sz w:val="28"/>
          <w:szCs w:val="28"/>
        </w:rPr>
        <w:t>25</w:t>
      </w:r>
      <w:r w:rsidR="002E68E5">
        <w:rPr>
          <w:rFonts w:ascii="Times New Roman" w:hAnsi="Times New Roman" w:cs="Times New Roman"/>
          <w:sz w:val="28"/>
          <w:szCs w:val="28"/>
        </w:rPr>
        <w:t xml:space="preserve"> от</w:t>
      </w:r>
      <w:r w:rsidR="002200A4">
        <w:rPr>
          <w:rFonts w:ascii="Times New Roman" w:hAnsi="Times New Roman" w:cs="Times New Roman"/>
          <w:sz w:val="28"/>
          <w:szCs w:val="28"/>
        </w:rPr>
        <w:t xml:space="preserve"> 18.07.2022г.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2200A4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00A4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0471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0471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0471AB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2200A4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04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04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04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0471A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0471AB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0471AB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 wp14:anchorId="7C930EB1" wp14:editId="30A7904B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0471A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2757479E" wp14:editId="5A633EFB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0471A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>-</w:t>
      </w:r>
      <w:r w:rsidR="00C864FE" w:rsidRPr="003F06E1">
        <w:rPr>
          <w:rFonts w:asciiTheme="majorBidi" w:hAnsiTheme="majorBidi" w:cstheme="majorBidi"/>
          <w:sz w:val="28"/>
          <w:szCs w:val="28"/>
        </w:rPr>
        <w:t xml:space="preserve"> проведения работ по ремонту </w:t>
      </w:r>
      <w:r w:rsidR="00C864FE"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04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04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</w:t>
      </w:r>
      <w:proofErr w:type="gramStart"/>
      <w:r w:rsidRPr="00242AE9">
        <w:rPr>
          <w:rFonts w:ascii="Times New Roman" w:hAnsi="Times New Roman" w:cs="Times New Roman"/>
          <w:sz w:val="28"/>
          <w:szCs w:val="28"/>
        </w:rPr>
        <w:t>.</w:t>
      </w:r>
      <w:r w:rsidR="00C864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64FE">
        <w:rPr>
          <w:rFonts w:ascii="Times New Roman" w:hAnsi="Times New Roman" w:cs="Times New Roman"/>
          <w:sz w:val="28"/>
          <w:szCs w:val="28"/>
        </w:rPr>
        <w:t xml:space="preserve">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0471AB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0471A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0471A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 w:rsidR="002200A4"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 w:rsidR="002200A4"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047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047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0471AB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0471AB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</w:p>
    <w:p w:rsidR="002B6665" w:rsidRPr="002603BB" w:rsidRDefault="002B6665" w:rsidP="000471AB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0471AB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48020C" w:rsidRPr="00033339" w:rsidRDefault="005F5B9B" w:rsidP="000471AB">
      <w:pPr>
        <w:shd w:val="clear" w:color="auto" w:fill="FFFFFF" w:themeFill="background1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0471A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0471A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F53210" w:rsidRPr="00242AE9" w:rsidRDefault="005723B2" w:rsidP="000471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0471A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</w:t>
      </w:r>
      <w:r w:rsidRPr="009F5009">
        <w:rPr>
          <w:rFonts w:ascii="Times New Roman" w:hAnsi="Times New Roman" w:cs="Times New Roman"/>
          <w:sz w:val="28"/>
          <w:szCs w:val="28"/>
        </w:rPr>
        <w:lastRenderedPageBreak/>
        <w:t xml:space="preserve">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0471A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0471A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0471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0471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0471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0471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0471A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4DF" w:rsidRPr="004B2407" w:rsidRDefault="003164DF" w:rsidP="000471A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0471A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3164DF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9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F53210" w:rsidRPr="0097667B" w:rsidRDefault="00F53210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047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04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047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3F0" w:rsidRDefault="00E743F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2200A4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</w:t>
      </w:r>
      <w:r w:rsidR="002200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</w:t>
      </w:r>
      <w:r w:rsidR="002200A4">
        <w:rPr>
          <w:rFonts w:ascii="Times New Roman" w:hAnsi="Times New Roman" w:cs="Times New Roman"/>
          <w:sz w:val="28"/>
          <w:szCs w:val="28"/>
        </w:rPr>
        <w:t>А.Б. Александров</w:t>
      </w:r>
    </w:p>
    <w:p w:rsidR="007F2C5B" w:rsidRPr="006F3348" w:rsidRDefault="007F2C5B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2200A4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F3348" w:rsidRPr="006F334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</w:t>
      </w:r>
      <w:r w:rsidR="002200A4">
        <w:rPr>
          <w:rFonts w:ascii="Times New Roman" w:hAnsi="Times New Roman" w:cs="Times New Roman"/>
          <w:sz w:val="28"/>
          <w:szCs w:val="28"/>
        </w:rPr>
        <w:t>А.С. Киселев</w:t>
      </w:r>
    </w:p>
    <w:sectPr w:rsidR="00E34712" w:rsidSect="000471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33339"/>
    <w:rsid w:val="00036B5D"/>
    <w:rsid w:val="00047189"/>
    <w:rsid w:val="000471AB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0A4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2E68E5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6E1"/>
    <w:rsid w:val="003F0E46"/>
    <w:rsid w:val="003F603F"/>
    <w:rsid w:val="00400401"/>
    <w:rsid w:val="0041072E"/>
    <w:rsid w:val="0041299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55BD7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E001F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43F0"/>
    <w:rsid w:val="00E77452"/>
    <w:rsid w:val="00E777AE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F1EA9119155D641973173FAB38C0EDD48237344203DC1F3B39AE4252217585163CDE5018A38FC220F692B25EC00723CF70651E8BF4E7IE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E826-2DBE-4257-BC1E-E703EA2D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2023-10-27T12:17:00Z</cp:lastPrinted>
  <dcterms:created xsi:type="dcterms:W3CDTF">2023-08-07T13:10:00Z</dcterms:created>
  <dcterms:modified xsi:type="dcterms:W3CDTF">2023-11-01T05:04:00Z</dcterms:modified>
</cp:coreProperties>
</file>